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500438" cy="2735560"/>
            <wp:effectExtent b="0" l="0" r="0" t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0438" cy="2735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Jingle and slogan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Celebrity 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Comparative 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Image Appeal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4462463" cy="2231231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2463" cy="2231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Sensory Appeal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3.jpg"/><Relationship Id="rId5" Type="http://schemas.openxmlformats.org/officeDocument/2006/relationships/image" Target="media/image01.jpg"/><Relationship Id="rId6" Type="http://schemas.openxmlformats.org/officeDocument/2006/relationships/hyperlink" Target="https://www.youtube.com/watch?v=DfyeXrdZZ1o" TargetMode="External"/><Relationship Id="rId7" Type="http://schemas.openxmlformats.org/officeDocument/2006/relationships/hyperlink" Target="https://www.youtube.com/watch?v=SzYBXcJSCPQ" TargetMode="External"/><Relationship Id="rId8" Type="http://schemas.openxmlformats.org/officeDocument/2006/relationships/hyperlink" Target="https://www.youtube.com/watch?v=R2EAqcOUJfE" TargetMode="External"/></Relationships>
</file>