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E7" w:rsidRPr="00A56BE7" w:rsidRDefault="00A56BE7" w:rsidP="00A56B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8"/>
          <w:szCs w:val="28"/>
        </w:rPr>
      </w:pPr>
      <w:proofErr w:type="spellStart"/>
      <w:r w:rsidRPr="00A56BE7">
        <w:rPr>
          <w:rFonts w:ascii="Helvetica" w:hAnsi="Helvetica" w:cs="Helvetica"/>
          <w:color w:val="000000"/>
          <w:sz w:val="28"/>
          <w:szCs w:val="28"/>
        </w:rPr>
        <w:t>Toynbee</w:t>
      </w:r>
      <w:proofErr w:type="spellEnd"/>
    </w:p>
    <w:p w:rsidR="00A56BE7" w:rsidRDefault="00A56BE7" w:rsidP="00A56B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A56BE7" w:rsidRDefault="00A56BE7" w:rsidP="00A56B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Pocos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historiadores han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tan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criticados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alabados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una sola obra como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Toynbee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i/>
          <w:iCs/>
          <w:color w:val="000000"/>
          <w:sz w:val="20"/>
          <w:szCs w:val="20"/>
        </w:rPr>
        <w:t>Estudio de la Historia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incluida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concepción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recogen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páginas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sobre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comportamiento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civilizaciones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sigue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siendo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objeto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crítica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quienes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consideran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una obra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pretenciosa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equivocada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descalifican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conclusiones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propias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un moralista cristiano que de un historiador.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Existen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no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obstante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férreos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defensores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Toynbee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ven en el historiador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inglés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continuación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idea de historia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concebida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Spengler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otros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coinciden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alabar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erudición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profundos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conocimientos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A56BE7" w:rsidRDefault="00A56BE7" w:rsidP="00A56B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Arnold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Toynbee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nació en Londres el 14 de abril de 1889.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primeros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años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vida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pasó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pequeña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localidad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Winchester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posteriormente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en 1907,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acudió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Balliol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College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Oxford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del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luego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fellow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tutor de historia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antigua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entre 1912 y 1915. </w:t>
      </w:r>
      <w:bookmarkStart w:id="0" w:name="_GoBack"/>
      <w:r>
        <w:rPr>
          <w:rFonts w:ascii="Helvetica" w:hAnsi="Helvetica" w:cs="Helvetica"/>
          <w:color w:val="000000"/>
          <w:sz w:val="20"/>
          <w:szCs w:val="20"/>
        </w:rPr>
        <w:t xml:space="preserve">Antes de iniciar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labor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docente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recorrió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durante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1911 y 1912 Europa y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Oriente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Próximo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bookmarkEnd w:id="0"/>
      <w:proofErr w:type="spellStart"/>
      <w:r>
        <w:rPr>
          <w:rFonts w:ascii="Helvetica" w:hAnsi="Helvetica" w:cs="Helvetica"/>
          <w:color w:val="000000"/>
          <w:sz w:val="20"/>
          <w:szCs w:val="20"/>
        </w:rPr>
        <w:t>familiarizándose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con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yacimientos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arqueológicos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griegos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cultura.</w:t>
      </w:r>
    </w:p>
    <w:p w:rsidR="00A56BE7" w:rsidRDefault="00A56BE7" w:rsidP="00A56B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disentería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eximió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alistarse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ejército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inglés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para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combatir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Gran Guerra,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durante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contienda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trabajó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para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departamento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inteligencia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política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Foreign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Office.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Participó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igualmente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conferencias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paz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celebradas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París,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tanto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fin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Primera como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Segunda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Guerra Mundial,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formando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delegación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inglesa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A56BE7" w:rsidRDefault="00A56BE7" w:rsidP="00A56B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Tras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finalizar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Gran Guerra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volvió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impartir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clases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ahora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Universidad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Londres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donde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profesor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lengua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literatura e historia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griega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bizantina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1919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hasta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1924. En 1925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nombrado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director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estudios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el Royal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Institute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of International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Affairs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cargo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desempeñó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hasta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1955, y 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poco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tiempo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comenzó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editar la prestigiosa revista 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Survey</w:t>
      </w:r>
      <w:proofErr w:type="spellEnd"/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of International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Affairs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Paralelamente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continuó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profesor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investigador de historia internacional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Universidad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Londres.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Murió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22 de octubre de 1975.</w:t>
      </w:r>
    </w:p>
    <w:p w:rsidR="00A56BE7" w:rsidRDefault="00A56BE7" w:rsidP="00A56B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producción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histórica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Toynbee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bastante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fecunda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ha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eclipsada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obra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importante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i/>
          <w:iCs/>
          <w:color w:val="000000"/>
          <w:sz w:val="20"/>
          <w:szCs w:val="20"/>
        </w:rPr>
        <w:t>Estudio de la historia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Compuesta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doce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volúmenes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redactada entre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años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1934 a 1954, son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varias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anécdotas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giran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torno al motivo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indujo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Toynbee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escribirla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Según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una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ellas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ocurrió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mientras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veía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campesinos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búlgaros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gorros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piel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zorro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parecidos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los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Herodoto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ya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había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descrito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hablar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vestimentas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tropas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rey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persa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Jerjes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cual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razón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llevase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escribirla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lo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cierto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es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i/>
          <w:iCs/>
          <w:color w:val="000000"/>
          <w:sz w:val="20"/>
          <w:szCs w:val="20"/>
        </w:rPr>
        <w:t>Estudio</w:t>
      </w:r>
      <w:r>
        <w:rPr>
          <w:rFonts w:ascii="Helvetica" w:hAnsi="Helvetica" w:cs="Helvetica"/>
          <w:color w:val="000000"/>
          <w:sz w:val="20"/>
          <w:szCs w:val="20"/>
        </w:rPr>
        <w:t xml:space="preserve"> es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considerado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clásico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historia universal. Entre el resto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destacan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El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pensamiento</w:t>
      </w:r>
      <w:proofErr w:type="spellEnd"/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histórico</w:t>
      </w:r>
      <w:proofErr w:type="spellEnd"/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griego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 </w:t>
      </w:r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La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civilización</w:t>
      </w:r>
      <w:proofErr w:type="spellEnd"/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y la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personalidad</w:t>
      </w:r>
      <w:proofErr w:type="spellEnd"/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griegos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 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Juicio</w:t>
      </w:r>
      <w:proofErr w:type="spellEnd"/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a la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Civilización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 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Aproximación</w:t>
      </w:r>
      <w:proofErr w:type="spellEnd"/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de una historia a la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religión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y </w:t>
      </w:r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De este a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oeste</w:t>
      </w:r>
      <w:proofErr w:type="spellEnd"/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; un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viaje</w:t>
      </w:r>
      <w:proofErr w:type="spellEnd"/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000000"/>
          <w:sz w:val="20"/>
          <w:szCs w:val="20"/>
        </w:rPr>
        <w:t>alrededor</w:t>
      </w:r>
      <w:proofErr w:type="spellEnd"/>
      <w:r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del mundo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A56BE7" w:rsidRDefault="00A56BE7" w:rsidP="00A56B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Toynbee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defiende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teoría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cíclica de la historia y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teoría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“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desafío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/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respuesta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”. Respecto a la primera, y a diferencia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Spengler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quien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recibe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una clara influencia), considera que no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tanto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desarrollo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circular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cerrado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bien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aplicación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ciertas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leyes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descriptivas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derivadas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empíricamente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estudio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comparado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las fases que han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recorrido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todas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civilizaciones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génesis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hasta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decadencia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A56BE7" w:rsidRDefault="00A56BE7" w:rsidP="00A56B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idea de la historia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asemeja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pues,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serie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rutas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algunos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casos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paralelas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otros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divergentes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que a un camino circular.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Teoría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completa con la relativa 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mecanismo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“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desafío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/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respuesta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”,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es, con la tesis de que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civilizaciones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avanzan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estancan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desaparecen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dependiendo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respuesta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capaces de dar a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desafíos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tengan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sí.</w:t>
      </w:r>
    </w:p>
    <w:p w:rsidR="00A56BE7" w:rsidRDefault="00A56BE7" w:rsidP="00A56B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Para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Toynbee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civilizaciones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constituyen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único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campo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histórico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inteligible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Son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soporte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movimiento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histórico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básica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estudio. Para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comprender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comportamiento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civilizaciones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análisis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ha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comenzar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génesis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cuyo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efecto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distingue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tipos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culturas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: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primitivas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que son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estáticas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permanecen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aferradas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pasado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evolucionar, y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grandes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culturas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dinámicas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cuya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superioridad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debe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que en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momento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supieron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responder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forma creadora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desafío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A56BE7" w:rsidRDefault="00A56BE7" w:rsidP="00A56B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Distingue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seis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tipos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culturas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primarias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egipcia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sumeria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minoica,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china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maya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andina) de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nacerán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veintiuna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civilizaciones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restantes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identifica a lo largo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humanidad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No son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grupos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cerrados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exclusivos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excluyentes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que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vayan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sucediendo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historia, pues entre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ellas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producen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conexiones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con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frecuencia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suelen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estar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relacionadas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vínculos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hereditarios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En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momento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que redacta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obra considera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sólo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perduran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lastRenderedPageBreak/>
        <w:t>cinco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: la cultura cristiana europea-occidental, la cristiana ortodoxa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impronta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rusa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islámica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la hinduista y la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lejano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oriente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A56BE7" w:rsidRDefault="00A56BE7" w:rsidP="00A56B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Estas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veintiuna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civilizaciones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están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condicionadas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ciertos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ritmos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estáticos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creadores.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paso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un ritmo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otro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es,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capacidad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hacer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frente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aparezcan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no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depende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civilización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sí,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minoría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selecta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cuya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influencia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extiende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al resto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sociedad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imitación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 mimesis.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vez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está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minoría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pierde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capacidad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creación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novedad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convierte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dominante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estática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se inicia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decadencia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sociedad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situación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colapso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desintegración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llega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cuando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minoría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pierde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lealtad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mayoría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produce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descomposición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interna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propia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civilización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En este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momento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se inicia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período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turbulento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convulsión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social,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dirigido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proletariado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interno, en el que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produce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degradación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las condiciones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morales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sociales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individuos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tránsito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caótico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se inicia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período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formación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desarrollo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al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precede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otro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episodio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turbulencias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que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nueva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minoría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consigue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crear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nueva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civilización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De esta forma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vuelve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iniciar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ciclo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A56BE7" w:rsidRDefault="00A56BE7" w:rsidP="00A56B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La empresa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Toynbee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apunta a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visión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total de la historia humana; 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campo visual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encuentran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culturas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continentes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Cierto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en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ámbito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Próximo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Oriente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del mundo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antiguo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de la historia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europeo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-americana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halla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equipado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mejores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conocimientos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en el campo de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culturas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india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china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americana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antigua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erudición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vastísima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teoría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historia universal representa, 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cuanto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elaboración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científica,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alta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realización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jamás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una sola persona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haya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conseguido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el campo de la historia.</w:t>
      </w:r>
    </w:p>
    <w:p w:rsidR="00766147" w:rsidRDefault="00766147"/>
    <w:sectPr w:rsidR="0076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E7"/>
    <w:rsid w:val="00766147"/>
    <w:rsid w:val="00A5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5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56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5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56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2019-10-10T10:51:00Z</dcterms:created>
  <dcterms:modified xsi:type="dcterms:W3CDTF">2019-10-10T10:52:00Z</dcterms:modified>
</cp:coreProperties>
</file>