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7" w:rsidRPr="00192F46" w:rsidRDefault="00192F46" w:rsidP="00192F46">
      <w:pPr>
        <w:jc w:val="center"/>
        <w:rPr>
          <w:b/>
          <w:sz w:val="24"/>
          <w:szCs w:val="24"/>
        </w:rPr>
      </w:pPr>
      <w:bookmarkStart w:id="0" w:name="_GoBack"/>
      <w:r w:rsidRPr="00192F46">
        <w:rPr>
          <w:rFonts w:ascii="Helvetica" w:hAnsi="Helvetica" w:cs="Helvetica"/>
          <w:b/>
          <w:color w:val="000000"/>
          <w:sz w:val="24"/>
          <w:szCs w:val="24"/>
        </w:rPr>
        <w:t>Eric Hobsbawm</w:t>
      </w:r>
    </w:p>
    <w:bookmarkEnd w:id="0"/>
    <w:p w:rsidR="00192F46" w:rsidRDefault="00192F46" w:rsidP="00192F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Quizás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para valorar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aportación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Eric Hobsbawm a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historiografía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contemporánea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cuando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aún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no han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pasado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años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muerte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Sorprende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embargo,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repercusión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tuvo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noticia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fallecimiento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medios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comunicación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internacionales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(no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sólo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ingleses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),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acompañada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elogiosas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semblanzas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obituarios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publicados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No es habitual que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periódicos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dediquen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tanto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espacio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un historiador, y la gran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mayoría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ellos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calificaron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Hobsbawm como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historiadores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importantes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siglo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XX. Todos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resaltaron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excepción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aproximación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marxista a la historia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militancia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comunista. Y es que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planteamientos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ideológicos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Hobsbawm,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mantuvo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incluso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caída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régimen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soviético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son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rasgos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destacados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“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eje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central en torno al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cual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he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intentado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organizar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la historia de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centuria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es 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triunfo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y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transformación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capitalismo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en la forma específica de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sociedad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burguesa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versión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liberal</w:t>
      </w:r>
      <w:r>
        <w:rPr>
          <w:rFonts w:ascii="Helvetica" w:hAnsi="Helvetica" w:cs="Helvetica"/>
          <w:color w:val="000000"/>
          <w:sz w:val="20"/>
          <w:szCs w:val="20"/>
        </w:rPr>
        <w:t xml:space="preserve">”. Con esta cita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podemos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resumir el principal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objeto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estudio de Hobsbawm.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interés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el sistema capitalista recorre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todos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escritos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acaba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convertirse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el centro sobre el que gira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interpretación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Historia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Contemporánea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Dada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proximidad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muerte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no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tenemos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aún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suficiente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perspectiva para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analizar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precisión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pensamiento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historiador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inglés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No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incluiremos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tanto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apartado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dedicado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desarrollar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planteamientos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historiográficos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como hemos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venido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haciendo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capítulos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y nos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limitaremos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exponer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datos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biográficos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destacados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a la cita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relevantes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Eric Hobsbawm nació en 1917 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ciudad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egipcia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Alejandría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padre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comerciante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inglés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madre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mujer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austriaca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clase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media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quienes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poco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tiempo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nacer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Eric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trasladaron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Viena (1919). En esta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ciudad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permanecerá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hasta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en 1931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falleció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madre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(dos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años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antes lo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había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hecho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padre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) y,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junto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hermana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instalaron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Berlín,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donde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residían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otros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familiares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Será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 capital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alemana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donde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Marx y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acerque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ideología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comunista. En 1933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familia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vuelve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Inglaterra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tres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años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tarde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gracias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una beca, Hobsbawm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comenzó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estudios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King’s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College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Cambridge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Segunda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Guerra Mundial, y al igual que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nutrido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grupo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estudiantes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universitarios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ingleses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historia o de cultura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clásica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(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Toynbee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ejemplo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),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ofreció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para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trabajar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servicios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inteligencia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británicos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dadas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afinidades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políticas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no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había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tratado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ocultar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durante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estudios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rechazado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Acabó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alistarse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cuerpo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ingenieros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zapador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trabajó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construcción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defensas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costeras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región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East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Anglia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vez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finalizada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guerra,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retomó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estudios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centró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tesis 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sociedad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Fabiana.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Obtenido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doctorado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Universidad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Cambdrigde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en 1947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comenzó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impartir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clases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Birkbeck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College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Londres, centro al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estará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asociado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resto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vida (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acabó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ser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presidente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).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Durante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estos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años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mantuvo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papel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activo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dentro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Partido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Comunista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fundadores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denominado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Communist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Party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Historians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Group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aglutinaba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destacadas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figuras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historiografía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inglesa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En 1952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contribuirá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manera decisiva 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aparición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revista 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Past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and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Present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cuya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presidencia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también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ostentó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La primera obra de Hobsbawm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salió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luz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Labour’s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Turning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Point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: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Extracts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from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Contemporary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Sources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 (1948),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reconocimiento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no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llegó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hasta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1959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publicación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Primitive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Rebels: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Studies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in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Archaic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Forms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of Social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Movement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in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the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19th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and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20th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centuries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En esta última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analiza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las “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formas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‘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primitivas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>’ o ‘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arcaicas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’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agitación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social</w:t>
      </w:r>
      <w:r>
        <w:rPr>
          <w:rFonts w:ascii="Helvetica" w:hAnsi="Helvetica" w:cs="Helvetica"/>
          <w:color w:val="000000"/>
          <w:sz w:val="20"/>
          <w:szCs w:val="20"/>
        </w:rPr>
        <w:t xml:space="preserve">”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surgidas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siglos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XIX y XX, como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bandolerismo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Mafia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sociedades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secretas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rurales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Europa,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sectas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religiosas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obreras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algunas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otras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que 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mayoría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las ocasiones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habían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tenido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mantenerse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margen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ley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para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sobrevivir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interés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estos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movimientos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sociales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radica,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además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importancia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práctica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pues, como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propio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Hobsbawm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señala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introducción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libro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 “[…]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hombres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mujeres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como los que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forman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objeto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este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libro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constituyen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la gran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mayoría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muchos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acaso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los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países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en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actualidad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y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adquisición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parte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conciencia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política ha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hecho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nuestro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siglo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revolucionario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la historia</w:t>
      </w:r>
      <w:r>
        <w:rPr>
          <w:rFonts w:ascii="Helvetica" w:hAnsi="Helvetica" w:cs="Helvetica"/>
          <w:color w:val="000000"/>
          <w:sz w:val="20"/>
          <w:szCs w:val="20"/>
        </w:rPr>
        <w:t>”.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primeros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trabajos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observamos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ya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varios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elementos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acompañaron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Hobsbawm a lo largo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producción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histórica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: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importancia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fenómenos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económicos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de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masas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populares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preeminencia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estudio de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movimientos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sociales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Recuperó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esta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misma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temática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libros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>Bandits</w:t>
      </w:r>
      <w:r>
        <w:rPr>
          <w:rFonts w:ascii="Helvetica" w:hAnsi="Helvetica" w:cs="Helvetica"/>
          <w:color w:val="000000"/>
          <w:sz w:val="20"/>
          <w:szCs w:val="20"/>
        </w:rPr>
        <w:t> y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Captain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Swing</w:t>
      </w:r>
      <w:r>
        <w:rPr>
          <w:rFonts w:ascii="Helvetica" w:hAnsi="Helvetica" w:cs="Helvetica"/>
          <w:color w:val="000000"/>
          <w:sz w:val="20"/>
          <w:szCs w:val="20"/>
        </w:rPr>
        <w:t xml:space="preserve"> (ambos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editados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1969).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 xml:space="preserve">En 1962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publicó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volumen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inicial de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serie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libros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darán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fama internacional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: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The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Age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of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Revolution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>: Europe 1789-1848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objetivo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palabras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Hobsbawm, no era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ofrecer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“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una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narración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detallada,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sino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una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interpretación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y lo que los franceses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llaman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haute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vulgarisation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”. Lo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dirigía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destinatarios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él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mismo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definía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estos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términos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: el “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lector ideal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será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formado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teóricamente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ciudadano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inteligente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culto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que no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siente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una mera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curiosidad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por 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pasado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sino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desea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saber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cómo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y por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qué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el mundo ha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llegado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a ser los que es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hoy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hacia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dónde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va</w:t>
      </w:r>
      <w:r>
        <w:rPr>
          <w:rFonts w:ascii="Helvetica" w:hAnsi="Helvetica" w:cs="Helvetica"/>
          <w:color w:val="000000"/>
          <w:sz w:val="20"/>
          <w:szCs w:val="20"/>
        </w:rPr>
        <w:t xml:space="preserve">”. El historiador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inglés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buscaba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con esta obra un doble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propósito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: por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explicar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triunfo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ideales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liberales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burgueses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Revolución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Francesa y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Revolución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Industrial,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así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como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cambios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trajeron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consigo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sobre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sociedad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la cultura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economía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decimonónicas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; y,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otro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analizar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aparición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“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las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fuerzas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que un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siglo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después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1848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habrían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convertir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expansión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contracción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”.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En 1975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apareció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podríamos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denominar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segunda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“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”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serie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: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The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Age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of Capital: 1848-1875</w:t>
      </w:r>
      <w:r>
        <w:rPr>
          <w:rFonts w:ascii="Helvetica" w:hAnsi="Helvetica" w:cs="Helvetica"/>
          <w:color w:val="000000"/>
          <w:sz w:val="20"/>
          <w:szCs w:val="20"/>
        </w:rPr>
        <w:t xml:space="preserve">, dedicada a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consolidación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sistema capitalista en esta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centuria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fracaso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movimientos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revolucionarios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1848, Europa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sumerge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período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estabilidad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política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provocó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progreso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extraordinario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industria y de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actividades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económicas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Hobsbawm estudia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burguesía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triunfante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nuevo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orden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social 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ideas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implantaron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olvidar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cataclismo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nueva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economía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mundial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supuso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“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para los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millones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pobres que,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transportados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a un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nuevo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mundo,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frecuentemente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a través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fronteras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océanos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tuvieron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cambiar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vida</w:t>
      </w:r>
      <w:r>
        <w:rPr>
          <w:rFonts w:ascii="Helvetica" w:hAnsi="Helvetica" w:cs="Helvetica"/>
          <w:color w:val="000000"/>
          <w:sz w:val="20"/>
          <w:szCs w:val="20"/>
        </w:rPr>
        <w:t>”.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En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intervalo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trece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años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entre una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otra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>Era</w:t>
      </w:r>
      <w:r>
        <w:rPr>
          <w:rFonts w:ascii="Helvetica" w:hAnsi="Helvetica" w:cs="Helvetica"/>
          <w:color w:val="000000"/>
          <w:sz w:val="20"/>
          <w:szCs w:val="20"/>
        </w:rPr>
        <w:t xml:space="preserve"> Hobsbawm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también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estuvo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trabajando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otros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temas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relacionados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economía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Revolución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Industrial,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conexión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con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imperios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surgidos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(o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consolidados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durante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siglo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XIX y XX.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ellos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nacieron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Pre-Capitalist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Economic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Formations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(1965) o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Industry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and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Empire: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From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1750 to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the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Present Day</w:t>
      </w:r>
      <w:r>
        <w:rPr>
          <w:rFonts w:ascii="Helvetica" w:hAnsi="Helvetica" w:cs="Helvetica"/>
          <w:color w:val="000000"/>
          <w:sz w:val="20"/>
          <w:szCs w:val="20"/>
        </w:rPr>
        <w:t> (1968).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Durante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década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setenta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en plena Guerra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Fría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mantuvo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filosofía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comunista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aunque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llegará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admitir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imposibilidad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alcanzar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algunas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premisas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pensamiento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marxista.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prestigio internacional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convertía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un verso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suelto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dentro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rígida nomenclatura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Partido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Comunista, de lo que da testimonio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hecho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jamás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publicaron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 Unión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Soviética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Con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cambio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década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acercó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Partido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Laborista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participó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activamente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confección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Tercera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llevará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al poder a Tony Blair.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En 1983 y 1984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escribió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importantes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libros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primero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llevaba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título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The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Invention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of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Tradition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trata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recopilación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artículos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escritos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él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mismo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otros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historiadores en los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define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la “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tradición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inventada” como el “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grupo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prácticas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normalmente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gobernadas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reglas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aceptadas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abierta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o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tácitamente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y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naturaleza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simbólica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o ritual, que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buscan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inculcar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determinados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valores o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normas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comportamiento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medio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repetición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lo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cual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implica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automáticamente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continuidad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con 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pasado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”. En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Worlds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of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Labour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: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further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studies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in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the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history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of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labour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 se ocupa de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clases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trabajadoras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entre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siglo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XVIII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mediados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XX,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así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como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situación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seno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sociedad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conciencia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modos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vida y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movimientos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ellas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deben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existencia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En 1987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publicó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último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volumen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serie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dedicada al “largo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siglo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XIX”: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The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Age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of Empire: 1875–1914</w:t>
      </w:r>
      <w:r>
        <w:rPr>
          <w:rFonts w:ascii="Helvetica" w:hAnsi="Helvetica" w:cs="Helvetica"/>
          <w:color w:val="000000"/>
          <w:sz w:val="20"/>
          <w:szCs w:val="20"/>
        </w:rPr>
        <w:t xml:space="preserve">. Como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propio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Hobsbawm explica 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prefacio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 “[…] 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lo que he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intentado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conseguir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en esta obra,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así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como en los dos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volúmenes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que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precedieron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(La Era de la revolución,1789-1848 y La Era del capital, 1848-1875), es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comprender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y explicar un mundo en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proceso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transformación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revolucionaria, buscar las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raíces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presente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en 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suelo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pasado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y,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especialmente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ver el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pasado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como un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todo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coherente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que (como con tanta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frecuencia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nos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vemos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forzados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contemplarlo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consecuencia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especialización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histórica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) como una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acumulación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temas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diferentes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”.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últimos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años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siglo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XIX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principios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XX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estuvieron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para el historiador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inglés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marcados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serie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paradojas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fue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período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paz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desembocó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dos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guerras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mundiales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;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poderío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militar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económico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algunas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naciones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permitió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crear un aura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estabilidad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nivel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internacional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pero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vez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trajo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consigo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germen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movimientos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destruirán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dicha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estabilidad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; y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consolidación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planteamientos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liberales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con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aparición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democracias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supuso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liquidación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liberalismo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burgués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fuerza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política. Todos estos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fenómenos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son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abordados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Hobsbawm 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cuyo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entender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 este sistema “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conforme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alcanza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apogeo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cae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víctima de las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contradicciones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inherentes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progreso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”.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Al final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vida Hobsbawm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centró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esfuerzos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recuperar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ideología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marxistas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(a través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libros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como: 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Karl Marx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and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Friedrich Engels,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The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Communist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Manifesto: a modern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edition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y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How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to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Change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the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World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: Tales of Marx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and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Marxism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) y en atacar al sistema capitalista,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cuyo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fin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consideraba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próximo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hecho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obra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The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Age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of Extremes: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the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short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twentieth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century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>, 1914–1991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un estudio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siglo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XX,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tiene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objeto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pronosticar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lastRenderedPageBreak/>
        <w:t>caída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capitalismo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: “[…] 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Y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esto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es lo que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está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ocurriendo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desde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mediados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siglo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Bajos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los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efectos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extraordinaria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explosión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económica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registrada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durante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edad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oro y en los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años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posteriores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con los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consiguientes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cambios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sociales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culturales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revolución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profunda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ocurrida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en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sociedad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desde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Edad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de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Piedra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esos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cimientos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han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empezado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resquebrajarse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”.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Entre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últimos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libros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destaca 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On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History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 en el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reúne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conferencias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artículos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inéditos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ahondan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forma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entender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concebir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historia,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atacando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relativistas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(“[…] 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creo que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sin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la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distinción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entre lo que es y lo que no es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así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no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puede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haber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historia</w:t>
      </w:r>
      <w:r>
        <w:rPr>
          <w:rFonts w:ascii="Helvetica" w:hAnsi="Helvetica" w:cs="Helvetica"/>
          <w:color w:val="000000"/>
          <w:sz w:val="20"/>
          <w:szCs w:val="20"/>
        </w:rPr>
        <w:t xml:space="preserve">”)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explicando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una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vez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planteamientos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marxistas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(“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Sin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Marx no se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hubiera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despertado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en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mí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ningún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interés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especial por la historia</w:t>
      </w:r>
      <w:r>
        <w:rPr>
          <w:rFonts w:ascii="Helvetica" w:hAnsi="Helvetica" w:cs="Helvetica"/>
          <w:color w:val="000000"/>
          <w:sz w:val="20"/>
          <w:szCs w:val="20"/>
        </w:rPr>
        <w:t xml:space="preserve">”).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Escribió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asimismo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autobiografía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 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Interesting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Times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: a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twentieth-Century</w:t>
      </w:r>
      <w:proofErr w:type="spellEnd"/>
      <w:r>
        <w:rPr>
          <w:rStyle w:val="mfasi"/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Style w:val="mfasi"/>
          <w:rFonts w:ascii="Helvetica" w:hAnsi="Helvetica" w:cs="Helvetica"/>
          <w:color w:val="000000"/>
          <w:sz w:val="20"/>
          <w:szCs w:val="20"/>
        </w:rPr>
        <w:t>life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192F46" w:rsidRDefault="00192F46" w:rsidP="00192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afiliación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política de Hobsbawm no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ha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impedido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obtener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reconocimiento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casi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unánime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por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labor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histórica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Ha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además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uno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grandes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divulgadores de la historia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nuestro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tiempo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ha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logrado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que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público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interese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(y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)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nuevo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historia: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obras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alcanzan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rango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 </w:t>
      </w:r>
      <w:r>
        <w:rPr>
          <w:rStyle w:val="mfasi"/>
          <w:rFonts w:ascii="Helvetica" w:hAnsi="Helvetica" w:cs="Helvetica"/>
          <w:color w:val="000000"/>
          <w:sz w:val="20"/>
          <w:szCs w:val="20"/>
        </w:rPr>
        <w:t>best-sellers, </w:t>
      </w:r>
      <w:r>
        <w:rPr>
          <w:rFonts w:ascii="Helvetica" w:hAnsi="Helvetica" w:cs="Helvetica"/>
          <w:color w:val="000000"/>
          <w:sz w:val="20"/>
          <w:szCs w:val="20"/>
        </w:rPr>
        <w:t xml:space="preserve">a lo que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ayuda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la forma,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asequible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de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exponer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los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hechos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las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explicaciones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sin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caer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en la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erudición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y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complejidad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propia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de esta disciplina.</w:t>
      </w:r>
    </w:p>
    <w:p w:rsidR="00192F46" w:rsidRDefault="00192F46"/>
    <w:sectPr w:rsidR="00192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46"/>
    <w:rsid w:val="00192F46"/>
    <w:rsid w:val="0076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fasi">
    <w:name w:val="Emphasis"/>
    <w:basedOn w:val="Tipusdelletraperdefectedelpargraf"/>
    <w:uiPriority w:val="20"/>
    <w:qFormat/>
    <w:rsid w:val="00192F46"/>
    <w:rPr>
      <w:i/>
      <w:iCs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9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2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fasi">
    <w:name w:val="Emphasis"/>
    <w:basedOn w:val="Tipusdelletraperdefectedelpargraf"/>
    <w:uiPriority w:val="20"/>
    <w:qFormat/>
    <w:rsid w:val="00192F46"/>
    <w:rPr>
      <w:i/>
      <w:iCs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9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2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cp:lastPrinted>2019-10-10T10:49:00Z</cp:lastPrinted>
  <dcterms:created xsi:type="dcterms:W3CDTF">2019-10-10T10:48:00Z</dcterms:created>
  <dcterms:modified xsi:type="dcterms:W3CDTF">2019-10-10T10:50:00Z</dcterms:modified>
</cp:coreProperties>
</file>