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20" w:before="200" w:lineRule="auto"/>
        <w:rPr>
          <w:rFonts w:ascii="Arial" w:cs="Arial" w:eastAsia="Arial" w:hAnsi="Arial"/>
          <w:b w:val="0"/>
          <w:i w:val="0"/>
          <w:smallCaps w:val="0"/>
          <w:color w:val="212529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212529"/>
          <w:rtl w:val="0"/>
        </w:rPr>
        <w:t xml:space="preserve">Sintaxis                                                              NGLE</w:t>
      </w:r>
    </w:p>
    <w:p w:rsidR="00000000" w:rsidDel="00000000" w:rsidP="00000000" w:rsidRDefault="00000000" w:rsidRPr="00000000" w14:paraId="00000002">
      <w:pPr>
        <w:pStyle w:val="Heading3"/>
        <w:widowControl w:val="1"/>
        <w:spacing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color w:val="212529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212529"/>
          <w:rtl w:val="0"/>
        </w:rPr>
        <w:t xml:space="preserve">38.1 El atributo en las construcciones semicopulativas (I). Verbos semicopulativos y verbos plenos: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575425" cy="363156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5425" cy="3631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Fíjate en las funciones de los segmentos postverbales en el uso como verbo pleno. CC, CPvo., CRV,  CD, C.Locativo argumental.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