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34"/>
      </w:tblGrid>
      <w:tr w:rsidR="00843AA5" w:rsidRPr="00E013DA" w:rsidTr="00843AA5">
        <w:trPr>
          <w:tblCellSpacing w:w="0" w:type="dxa"/>
        </w:trPr>
        <w:tc>
          <w:tcPr>
            <w:tcW w:w="10050" w:type="dxa"/>
            <w:hideMark/>
          </w:tcPr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0"/>
            </w:tblGrid>
            <w:tr w:rsidR="00843AA5" w:rsidRPr="00E01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3AA5" w:rsidRPr="00843AA5" w:rsidRDefault="00843AA5" w:rsidP="00843AA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val="en-US" w:eastAsia="es-ES"/>
                    </w:rPr>
                  </w:pPr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val="en-US" w:eastAsia="es-ES"/>
                    </w:rPr>
                    <w:t xml:space="preserve">1.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val="en-US" w:eastAsia="es-ES"/>
                    </w:rPr>
                    <w:t>Què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val="en-US"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val="en-US" w:eastAsia="es-ES"/>
                    </w:rPr>
                    <w:t>entenem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val="en-US" w:eastAsia="es-ES"/>
                    </w:rPr>
                    <w:t xml:space="preserve"> per Fair Play?</w:t>
                  </w:r>
                </w:p>
              </w:tc>
            </w:tr>
          </w:tbl>
          <w:p w:rsidR="00843AA5" w:rsidRPr="00843AA5" w:rsidRDefault="00843AA5" w:rsidP="00843A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en-US" w:eastAsia="es-ES"/>
              </w:rPr>
            </w:pPr>
          </w:p>
        </w:tc>
      </w:tr>
    </w:tbl>
    <w:p w:rsidR="00843AA5" w:rsidRPr="00843AA5" w:rsidRDefault="00843AA5" w:rsidP="00843AA5">
      <w:pPr>
        <w:spacing w:after="0" w:line="240" w:lineRule="auto"/>
        <w:rPr>
          <w:rFonts w:ascii="Verdana" w:eastAsia="Times New Roman" w:hAnsi="Verdana" w:cs="Times New Roman"/>
          <w:vanish/>
          <w:color w:val="000000"/>
          <w:lang w:eastAsia="es-ES"/>
        </w:rPr>
      </w:pPr>
    </w:p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0"/>
        <w:gridCol w:w="8308"/>
      </w:tblGrid>
      <w:tr w:rsidR="00843AA5" w:rsidRPr="00843AA5" w:rsidTr="00843AA5">
        <w:trPr>
          <w:tblCellSpacing w:w="0" w:type="dxa"/>
        </w:trPr>
        <w:tc>
          <w:tcPr>
            <w:tcW w:w="15" w:type="dxa"/>
            <w:hideMark/>
          </w:tcPr>
          <w:p w:rsidR="00843AA5" w:rsidRPr="00843AA5" w:rsidRDefault="00843AA5" w:rsidP="00843A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lang w:eastAsia="es-ES"/>
              </w:rPr>
              <w:drawing>
                <wp:inline distT="0" distB="0" distL="0" distR="0">
                  <wp:extent cx="12700" cy="12700"/>
                  <wp:effectExtent l="0" t="0" r="0" b="0"/>
                  <wp:docPr id="1" name="Imagen 1" descr="C:\Users\Alfred\Documents\EDUCACIÓ FÍSICA\curs esport i valors\curs valors a l'esport\tema 2\Tema 2_ Fair Play_archivos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fred\Documents\EDUCACIÓ FÍSICA\curs esport i valors\curs valors a l'esport\tema 2\Tema 2_ Fair Play_archivos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hideMark/>
          </w:tcPr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«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monitor/a o entrenador/a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tens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molts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papers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fer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moltes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tasques 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realitzar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Cap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important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que la tremenda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responsabilitat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desenvolupar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sentit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l’esportivitat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jugadors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jugadores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tens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teu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càrrec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.» (UNISPORT, Junta de Andalucía, 1993) 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Fair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Play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un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terme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general,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acceptat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internacionalment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que agrupa un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seguit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valors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propis de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pràctica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esportiva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Sovint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tendeix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reduir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seu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significat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al respecte per les regles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joc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Tanmateix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l’accepció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àmplia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Fair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Play 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situa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dins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la franja de les </w:t>
            </w:r>
            <w:proofErr w:type="spellStart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actituds</w:t>
            </w:r>
            <w:proofErr w:type="spellEnd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generades</w:t>
            </w:r>
            <w:proofErr w:type="spellEnd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 xml:space="preserve"> per </w:t>
            </w:r>
            <w:proofErr w:type="spellStart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valors</w:t>
            </w:r>
            <w:proofErr w:type="spellEnd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universals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ara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l’amistat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tolerància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llibertat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6D85B7"/>
                <w:left w:val="outset" w:sz="6" w:space="0" w:color="6D85B7"/>
                <w:bottom w:val="outset" w:sz="6" w:space="0" w:color="6D85B7"/>
                <w:right w:val="outset" w:sz="6" w:space="0" w:color="6D85B7"/>
              </w:tblBorders>
              <w:shd w:val="clear" w:color="auto" w:fill="FEFFE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7992"/>
            </w:tblGrid>
            <w:tr w:rsidR="00843AA5" w:rsidRPr="00843A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D85B7"/>
                    <w:left w:val="outset" w:sz="6" w:space="0" w:color="6D85B7"/>
                    <w:bottom w:val="outset" w:sz="6" w:space="0" w:color="6D85B7"/>
                    <w:right w:val="outset" w:sz="6" w:space="0" w:color="6D85B7"/>
                  </w:tcBorders>
                  <w:shd w:val="clear" w:color="auto" w:fill="FEFFEA"/>
                  <w:vAlign w:val="center"/>
                  <w:hideMark/>
                </w:tcPr>
                <w:p w:rsidR="00843AA5" w:rsidRPr="00843AA5" w:rsidRDefault="00843AA5" w:rsidP="00843A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</w:pP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El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Fair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Play implica:</w:t>
                  </w: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br/>
                    <w:t xml:space="preserve">  –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Reconeixement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i respecte per les regles de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joc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.</w:t>
                  </w: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br/>
                    <w:t xml:space="preserve">  –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Relacions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correctes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amb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l’adversari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.</w:t>
                  </w: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br/>
                    <w:t xml:space="preserve">  –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Manteniment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de la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igualtat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d’oportunitats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i de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condicions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per 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tothom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.</w:t>
                  </w: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br/>
                    <w:t xml:space="preserve">  –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Rebuig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de la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victòria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qualsevol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preu.</w:t>
                  </w: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br/>
                    <w:t xml:space="preserve">  – Actitud digna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tant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en la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victòria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com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en la derrota.</w:t>
                  </w:r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br/>
                    <w:t xml:space="preserve">  –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Compromís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real de donar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tot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el que es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pugui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d’un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mateix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  <w:t>.</w:t>
                  </w:r>
                </w:p>
              </w:tc>
            </w:tr>
          </w:tbl>
          <w:p w:rsidR="00843AA5" w:rsidRPr="00843AA5" w:rsidRDefault="00843AA5" w:rsidP="00843A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vanish/>
                <w:color w:val="000000"/>
                <w:lang w:eastAsia="es-ES"/>
              </w:rPr>
            </w:pPr>
          </w:p>
          <w:tbl>
            <w:tblPr>
              <w:tblW w:w="529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26"/>
            </w:tblGrid>
            <w:tr w:rsidR="00843AA5" w:rsidRPr="00843AA5">
              <w:trPr>
                <w:trHeight w:val="2310"/>
                <w:tblCellSpacing w:w="0" w:type="dxa"/>
                <w:jc w:val="center"/>
              </w:trPr>
              <w:tc>
                <w:tcPr>
                  <w:tcW w:w="5280" w:type="dxa"/>
                  <w:vAlign w:val="center"/>
                  <w:hideMark/>
                </w:tcPr>
                <w:tbl>
                  <w:tblPr>
                    <w:tblW w:w="5250" w:type="dxa"/>
                    <w:jc w:val="center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10"/>
                  </w:tblGrid>
                  <w:tr w:rsidR="00843AA5" w:rsidRPr="00843A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43AA5" w:rsidRPr="00843AA5" w:rsidRDefault="00843AA5" w:rsidP="00843AA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eastAsia="es-ES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lang w:eastAsia="es-ES"/>
                          </w:rPr>
                          <w:drawing>
                            <wp:inline distT="0" distB="0" distL="0" distR="0">
                              <wp:extent cx="3327400" cy="1447800"/>
                              <wp:effectExtent l="19050" t="0" r="6350" b="0"/>
                              <wp:docPr id="2" name="Imagen 2" descr="C:\Users\Alfred\Documents\EDUCACIÓ FÍSICA\curs esport i valors\curs valors a l'esport\tema 2\Tema 2_ Fair Play_archivos\poltenni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Alfred\Documents\EDUCACIÓ FÍSICA\curs esport i valors\curs valors a l'esport\tema 2\Tema 2_ Fair Play_archivos\poltenni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27400" cy="144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43AA5" w:rsidRPr="00843AA5" w:rsidRDefault="00843AA5" w:rsidP="00843A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es-ES"/>
                    </w:rPr>
                  </w:pPr>
                </w:p>
              </w:tc>
            </w:tr>
            <w:tr w:rsidR="00843AA5" w:rsidRPr="00E013DA">
              <w:trPr>
                <w:trHeight w:val="300"/>
                <w:tblCellSpacing w:w="0" w:type="dxa"/>
                <w:jc w:val="center"/>
              </w:trPr>
              <w:tc>
                <w:tcPr>
                  <w:tcW w:w="5280" w:type="dxa"/>
                  <w:vAlign w:val="center"/>
                  <w:hideMark/>
                </w:tcPr>
                <w:p w:rsidR="00843AA5" w:rsidRPr="00843AA5" w:rsidRDefault="00843AA5" w:rsidP="00843A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</w:pP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Figura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 xml:space="preserve"> 1. Tennis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Sant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Pol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 xml:space="preserve">: el tennis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ens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 xml:space="preserve"> ha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fet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amics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color w:val="000000"/>
                      <w:lang w:val="en-US" w:eastAsia="es-ES"/>
                    </w:rPr>
                    <w:t>.</w:t>
                  </w:r>
                </w:p>
              </w:tc>
            </w:tr>
          </w:tbl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No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sorprenent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doncs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determinats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col·lectius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immersos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món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l’esport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hagin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arribat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definir-lo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una actitud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davant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la vida. I no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estrany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perquè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través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l’esport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es poden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reviure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amb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intensitat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situacions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emocions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pròpies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l’existència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humana. 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diuen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Martínez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Buixarrais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(2000), «la actividad deportiva es potente desde un punto de vista pedagógico porque permite vivir situaciones en que la alegría, la ilusión, el compañerismo, la solidaridad, la aceptación de las limitaciones propias y de los demás, van acompañadas en un mismo contexto y de forma real de emociones como la indignación, el arrepentimiento, el resentimiento, la responsabilidad, incluso la culpa y el miedo, entre otras». 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aquest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tema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intentarem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veure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s’impliquen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entitats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promoció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Fair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Play,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coneixeràs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casos d’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esportivitat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et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posarem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lastRenderedPageBreak/>
              <w:t>situació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anar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definint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amb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claredat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línia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que separa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Fair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Play de la manca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d’esportivitat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</w:t>
            </w:r>
          </w:p>
        </w:tc>
      </w:tr>
    </w:tbl>
    <w:p w:rsidR="00843AA5" w:rsidRPr="00843AA5" w:rsidRDefault="00843AA5" w:rsidP="00843A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s-ES"/>
        </w:rPr>
      </w:pPr>
      <w:r w:rsidRPr="00843AA5">
        <w:rPr>
          <w:rFonts w:ascii="Verdana" w:eastAsia="Times New Roman" w:hAnsi="Verdana" w:cs="Times New Roman"/>
          <w:color w:val="000000"/>
          <w:lang w:eastAsia="es-ES"/>
        </w:rPr>
        <w:lastRenderedPageBreak/>
        <w:t> 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34"/>
      </w:tblGrid>
      <w:tr w:rsidR="00843AA5" w:rsidRPr="00843AA5" w:rsidTr="00843AA5">
        <w:trPr>
          <w:tblCellSpacing w:w="0" w:type="dxa"/>
        </w:trPr>
        <w:tc>
          <w:tcPr>
            <w:tcW w:w="10050" w:type="dxa"/>
            <w:hideMark/>
          </w:tcPr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0"/>
            </w:tblGrid>
            <w:tr w:rsidR="00843AA5" w:rsidRPr="00843A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3AA5" w:rsidRPr="00843AA5" w:rsidRDefault="00843AA5" w:rsidP="00843AA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 xml:space="preserve">3.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>Quin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 xml:space="preserve">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>paper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 xml:space="preserve"> juga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>l’educació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 xml:space="preserve"> en </w:t>
                  </w:r>
                  <w:proofErr w:type="spellStart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>valors</w:t>
                  </w:r>
                  <w:proofErr w:type="spellEnd"/>
                  <w:r w:rsidRPr="00843AA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 xml:space="preserve">? </w:t>
                  </w:r>
                </w:p>
              </w:tc>
            </w:tr>
          </w:tbl>
          <w:p w:rsidR="00843AA5" w:rsidRPr="00843AA5" w:rsidRDefault="00843AA5" w:rsidP="00843A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</w:tbl>
    <w:p w:rsidR="00843AA5" w:rsidRPr="00843AA5" w:rsidRDefault="00843AA5" w:rsidP="00843AA5">
      <w:pPr>
        <w:spacing w:after="0" w:line="240" w:lineRule="auto"/>
        <w:rPr>
          <w:rFonts w:ascii="Verdana" w:eastAsia="Times New Roman" w:hAnsi="Verdana" w:cs="Times New Roman"/>
          <w:vanish/>
          <w:color w:val="000000"/>
          <w:lang w:eastAsia="es-ES"/>
        </w:rPr>
      </w:pPr>
    </w:p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0"/>
        <w:gridCol w:w="8308"/>
      </w:tblGrid>
      <w:tr w:rsidR="00843AA5" w:rsidRPr="00843AA5" w:rsidTr="00843AA5">
        <w:trPr>
          <w:tblCellSpacing w:w="0" w:type="dxa"/>
        </w:trPr>
        <w:tc>
          <w:tcPr>
            <w:tcW w:w="15" w:type="dxa"/>
            <w:hideMark/>
          </w:tcPr>
          <w:p w:rsidR="00843AA5" w:rsidRPr="00843AA5" w:rsidRDefault="00843AA5" w:rsidP="00843A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lang w:eastAsia="es-ES"/>
              </w:rPr>
              <w:drawing>
                <wp:inline distT="0" distB="0" distL="0" distR="0">
                  <wp:extent cx="12700" cy="12700"/>
                  <wp:effectExtent l="0" t="0" r="0" b="0"/>
                  <wp:docPr id="5" name="Imagen 5" descr="C:\Users\Alfred\Documents\EDUCACIÓ FÍSICA\curs esport i valors\curs valors a l'esport\tema 2\Tema 2_ Fair Play_archivos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lfred\Documents\EDUCACIÓ FÍSICA\curs esport i valors\curs valors a l'esport\tema 2\Tema 2_ Fair Play_archivos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hideMark/>
          </w:tcPr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nostres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dies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hi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ha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dues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tendències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prevenció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violència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l’esport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: 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– La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partidària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d’incrementar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les mesures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seguretat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les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sancions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– La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creu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que les mesures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mai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podran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eradicar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violència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camps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No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obstant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això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totes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dues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coincideixen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què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millor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forma de prevenir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violència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l’educació</w:t>
            </w:r>
            <w:proofErr w:type="spellEnd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valors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</w:t>
            </w:r>
          </w:p>
          <w:p w:rsidR="00843AA5" w:rsidRPr="00843AA5" w:rsidRDefault="00843AA5" w:rsidP="00843AA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s-ES"/>
              </w:rPr>
            </w:pP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Darrerament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hem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sentit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dir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amb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molta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freqüència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aquesta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afirmació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: «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l’activitat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física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l’esport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són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un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mitjà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excel·lent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 educar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valors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».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Certament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aprenentatges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deriven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l’activitat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física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repercuteixen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en bon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grau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en la manera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fer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conviure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l’entorn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social.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coneixement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el respecte per les normes,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l’assentament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d’hàbits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l’autoavaluació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les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accions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reconeixement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l’error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aprendre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superació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personal,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l’acceptació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les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pròpies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limitacions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...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combinat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amb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desenvolupament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d’actituds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encaminades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consecució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projectes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compartits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processos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d’autoregulació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col·lectiva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fan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l’activitat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esportiva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adquireixi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un gran potencial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pedagògic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Però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cal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anar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compte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perquè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llarg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història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l’esport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ha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estat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un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instruments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utilitzats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ideologies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perverses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en 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sentit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d’inculcar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seus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propis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valors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(la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humiliació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del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contrari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l’adulteració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competició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la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discriminació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de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gènere</w:t>
            </w:r>
            <w:proofErr w:type="spellEnd"/>
            <w:proofErr w:type="gram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... )</w:t>
            </w:r>
            <w:proofErr w:type="gram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.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És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aquest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motiu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que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caldrà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un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debat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permanent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per clarificar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quins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són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valors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treballar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transmetre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i, a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continuació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, incorporar-los en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projectes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dels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clubs i les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entitats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esportives</w:t>
            </w:r>
            <w:proofErr w:type="spellEnd"/>
            <w:r w:rsidRPr="00843AA5">
              <w:rPr>
                <w:rFonts w:ascii="Verdana" w:eastAsia="Times New Roman" w:hAnsi="Verdana" w:cs="Times New Roman"/>
                <w:color w:val="000000"/>
                <w:lang w:eastAsia="es-ES"/>
              </w:rPr>
              <w:t>.</w:t>
            </w:r>
          </w:p>
        </w:tc>
      </w:tr>
    </w:tbl>
    <w:p w:rsidR="003B0671" w:rsidRDefault="003B0671"/>
    <w:p w:rsidR="00843AA5" w:rsidRDefault="00843AA5"/>
    <w:p w:rsidR="00843AA5" w:rsidRDefault="00E94561">
      <w:r>
        <w:rPr>
          <w:sz w:val="24"/>
          <w:szCs w:val="24"/>
        </w:rPr>
        <w:t>CONTESTEU A LES SEGUENTS PREGUNTES</w:t>
      </w:r>
      <w:r w:rsidR="00843AA5">
        <w:t>:</w:t>
      </w:r>
    </w:p>
    <w:p w:rsidR="00843AA5" w:rsidRDefault="00843AA5" w:rsidP="00843AA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43AA5">
        <w:rPr>
          <w:sz w:val="24"/>
          <w:szCs w:val="24"/>
        </w:rPr>
        <w:t>QUÈ ÉS EL FAIR PLAY I QUÈ IMPLICA</w:t>
      </w:r>
      <w:proofErr w:type="gramStart"/>
      <w:r w:rsidRPr="00843AA5">
        <w:rPr>
          <w:sz w:val="24"/>
          <w:szCs w:val="24"/>
        </w:rPr>
        <w:t>?</w:t>
      </w:r>
      <w:proofErr w:type="gramEnd"/>
    </w:p>
    <w:p w:rsidR="00843AA5" w:rsidRDefault="00843AA5" w:rsidP="00843AA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ÉS CERT QUE EL FAIR PLAY ES POT DEFINIR COM UNA ACTITUD DAVANT DE LA VIDA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PER TU QUE VOLDRIA DIR AIXÒ?</w:t>
      </w:r>
    </w:p>
    <w:p w:rsidR="00843AA5" w:rsidRDefault="00E94561" w:rsidP="00843AA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 QUÈ L’ACTIVITAT FÍSICA I L’ESPORT SÓN UN MITJÀ EXCEL·LENT PER EDUCAR EN VALORS?</w:t>
      </w:r>
      <w:r w:rsidR="00843AA5">
        <w:rPr>
          <w:sz w:val="24"/>
          <w:szCs w:val="24"/>
        </w:rPr>
        <w:t xml:space="preserve"> </w:t>
      </w:r>
    </w:p>
    <w:p w:rsidR="00E013DA" w:rsidRPr="00E013DA" w:rsidRDefault="00E013DA" w:rsidP="00E013DA">
      <w:pPr>
        <w:pStyle w:val="NormalWeb"/>
        <w:ind w:left="720"/>
        <w:rPr>
          <w:rStyle w:val="Textoennegrita"/>
          <w:b w:val="0"/>
          <w:bCs w:val="0"/>
        </w:rPr>
      </w:pPr>
    </w:p>
    <w:p w:rsidR="00E013DA" w:rsidRDefault="00E013DA" w:rsidP="00E013DA">
      <w:pPr>
        <w:pStyle w:val="NormalWeb"/>
        <w:ind w:left="720"/>
        <w:rPr>
          <w:rStyle w:val="Textoennegrita"/>
        </w:rPr>
      </w:pPr>
    </w:p>
    <w:p w:rsidR="00E013DA" w:rsidRDefault="00E013DA" w:rsidP="00E013DA">
      <w:pPr>
        <w:pStyle w:val="NormalWeb"/>
        <w:numPr>
          <w:ilvl w:val="0"/>
          <w:numId w:val="1"/>
        </w:numPr>
      </w:pPr>
      <w:r>
        <w:rPr>
          <w:rStyle w:val="Textoennegrita"/>
        </w:rPr>
        <w:t xml:space="preserve">Descripció de la </w:t>
      </w:r>
      <w:proofErr w:type="spellStart"/>
      <w:r>
        <w:rPr>
          <w:rStyle w:val="Textoennegrita"/>
        </w:rPr>
        <w:t>situació</w:t>
      </w:r>
      <w:proofErr w:type="spellEnd"/>
      <w:r>
        <w:rPr>
          <w:rStyle w:val="Textoennegrita"/>
        </w:rPr>
        <w:t>:</w:t>
      </w:r>
    </w:p>
    <w:p w:rsidR="00E013DA" w:rsidRDefault="00E013DA" w:rsidP="00E013DA">
      <w:pPr>
        <w:pStyle w:val="NormalWeb"/>
        <w:ind w:left="720"/>
      </w:pPr>
      <w:proofErr w:type="spellStart"/>
      <w:r>
        <w:t>Lliga</w:t>
      </w:r>
      <w:proofErr w:type="spellEnd"/>
      <w:r>
        <w:t xml:space="preserve"> de futbol </w:t>
      </w:r>
      <w:proofErr w:type="spellStart"/>
      <w:r>
        <w:t>espanyola</w:t>
      </w:r>
      <w:proofErr w:type="spellEnd"/>
      <w:r>
        <w:t xml:space="preserve"> 1969-1970</w:t>
      </w:r>
      <w:r>
        <w:br/>
      </w:r>
      <w:proofErr w:type="spellStart"/>
      <w:proofErr w:type="gramStart"/>
      <w:r>
        <w:t>Partit</w:t>
      </w:r>
      <w:proofErr w:type="spellEnd"/>
      <w:r>
        <w:t xml:space="preserve"> :</w:t>
      </w:r>
      <w:proofErr w:type="gramEnd"/>
      <w:r>
        <w:t xml:space="preserve"> Real Madrid / Centre </w:t>
      </w:r>
      <w:proofErr w:type="spellStart"/>
      <w:r>
        <w:t>d’Esports</w:t>
      </w:r>
      <w:proofErr w:type="spellEnd"/>
      <w:r>
        <w:t xml:space="preserve"> </w:t>
      </w:r>
      <w:proofErr w:type="spellStart"/>
      <w:r>
        <w:t>SabadellMinut</w:t>
      </w:r>
      <w:proofErr w:type="spellEnd"/>
      <w:r>
        <w:t>: 13</w:t>
      </w:r>
    </w:p>
    <w:p w:rsidR="00E013DA" w:rsidRDefault="00E013DA" w:rsidP="00E013DA">
      <w:pPr>
        <w:pStyle w:val="NormalWeb"/>
        <w:ind w:left="360"/>
      </w:pPr>
      <w:r>
        <w:t xml:space="preserve">Pedro </w:t>
      </w:r>
      <w:proofErr w:type="spellStart"/>
      <w:r>
        <w:t>Zaballa</w:t>
      </w:r>
      <w:proofErr w:type="spellEnd"/>
      <w:r>
        <w:t xml:space="preserve">, jugador del C.E. Sabadell i ex-jugador del F.C. Barcelona, </w:t>
      </w:r>
      <w:proofErr w:type="spellStart"/>
      <w:r>
        <w:t>llença</w:t>
      </w:r>
      <w:proofErr w:type="spellEnd"/>
      <w:r>
        <w:t xml:space="preserve"> una falta des de la frontal. El </w:t>
      </w:r>
      <w:proofErr w:type="spellStart"/>
      <w:r>
        <w:t>porter</w:t>
      </w:r>
      <w:proofErr w:type="spellEnd"/>
      <w:r>
        <w:t xml:space="preserve"> </w:t>
      </w:r>
      <w:proofErr w:type="spellStart"/>
      <w:r>
        <w:t>blanc</w:t>
      </w:r>
      <w:proofErr w:type="spellEnd"/>
      <w:r>
        <w:t xml:space="preserve"> Junquera i el jugador </w:t>
      </w:r>
      <w:proofErr w:type="spellStart"/>
      <w:r>
        <w:t>arlequinat</w:t>
      </w:r>
      <w:proofErr w:type="spellEnd"/>
      <w:r>
        <w:t xml:space="preserve"> </w:t>
      </w:r>
      <w:proofErr w:type="spellStart"/>
      <w:r>
        <w:t>Espíldora</w:t>
      </w:r>
      <w:proofErr w:type="spellEnd"/>
      <w:r>
        <w:t xml:space="preserve"> salten i </w:t>
      </w:r>
      <w:proofErr w:type="spellStart"/>
      <w:r>
        <w:t>xoquen</w:t>
      </w:r>
      <w:proofErr w:type="spellEnd"/>
      <w:r>
        <w:t xml:space="preserve">, </w:t>
      </w:r>
      <w:proofErr w:type="spellStart"/>
      <w:r>
        <w:t>causant</w:t>
      </w:r>
      <w:proofErr w:type="spellEnd"/>
      <w:r>
        <w:t xml:space="preserve">-se una </w:t>
      </w:r>
      <w:proofErr w:type="spellStart"/>
      <w:r>
        <w:t>lesió</w:t>
      </w:r>
      <w:proofErr w:type="spellEnd"/>
      <w:r>
        <w:t xml:space="preserve">, </w:t>
      </w:r>
      <w:proofErr w:type="spellStart"/>
      <w:r>
        <w:t>ambdós</w:t>
      </w:r>
      <w:proofErr w:type="spellEnd"/>
      <w:r>
        <w:t xml:space="preserve"> </w:t>
      </w:r>
      <w:proofErr w:type="spellStart"/>
      <w:r>
        <w:t>jugadors</w:t>
      </w:r>
      <w:proofErr w:type="spellEnd"/>
      <w:r>
        <w:t xml:space="preserve"> </w:t>
      </w:r>
      <w:proofErr w:type="spellStart"/>
      <w:r>
        <w:t>cauen</w:t>
      </w:r>
      <w:proofErr w:type="spellEnd"/>
      <w:r>
        <w:t xml:space="preserve"> al </w:t>
      </w:r>
      <w:proofErr w:type="spellStart"/>
      <w:r>
        <w:t>terra</w:t>
      </w:r>
      <w:proofErr w:type="spellEnd"/>
      <w:r>
        <w:t xml:space="preserve"> i queden </w:t>
      </w:r>
      <w:proofErr w:type="spellStart"/>
      <w:r>
        <w:t>estesos</w:t>
      </w:r>
      <w:proofErr w:type="spellEnd"/>
      <w:r>
        <w:t xml:space="preserve">. En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arriba la pilota a </w:t>
      </w:r>
      <w:proofErr w:type="spellStart"/>
      <w:r>
        <w:t>Zaballa</w:t>
      </w:r>
      <w:proofErr w:type="spellEnd"/>
      <w:r>
        <w:t xml:space="preserve">, que </w:t>
      </w:r>
      <w:proofErr w:type="spellStart"/>
      <w:r>
        <w:t>s’havia</w:t>
      </w:r>
      <w:proofErr w:type="spellEnd"/>
      <w:r>
        <w:t xml:space="preserve"> </w:t>
      </w:r>
      <w:proofErr w:type="spellStart"/>
      <w:r>
        <w:t>desplaçat</w:t>
      </w:r>
      <w:proofErr w:type="spellEnd"/>
      <w:r>
        <w:t xml:space="preserve"> </w:t>
      </w:r>
      <w:proofErr w:type="spellStart"/>
      <w:r>
        <w:t>endavant</w:t>
      </w:r>
      <w:proofErr w:type="spellEnd"/>
      <w:r>
        <w:t xml:space="preserve">, i es queda </w:t>
      </w:r>
      <w:proofErr w:type="spellStart"/>
      <w:r>
        <w:t>davant</w:t>
      </w:r>
      <w:proofErr w:type="spellEnd"/>
      <w:r>
        <w:t xml:space="preserve"> de </w:t>
      </w:r>
      <w:proofErr w:type="spellStart"/>
      <w:r>
        <w:t>porteria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(</w:t>
      </w:r>
      <w:proofErr w:type="spellStart"/>
      <w:r>
        <w:t>porteria</w:t>
      </w:r>
      <w:proofErr w:type="spellEnd"/>
      <w:r>
        <w:t xml:space="preserve"> buida).</w:t>
      </w:r>
    </w:p>
    <w:p w:rsidR="00E013DA" w:rsidRDefault="00E013DA" w:rsidP="00E013DA">
      <w:pPr>
        <w:pStyle w:val="NormalWeb"/>
        <w:ind w:left="360"/>
      </w:pPr>
      <w:r>
        <w:rPr>
          <w:rStyle w:val="Textoennegrita"/>
        </w:rPr>
        <w:t xml:space="preserve">Pregunta o </w:t>
      </w:r>
      <w:proofErr w:type="spellStart"/>
      <w:r>
        <w:rPr>
          <w:rStyle w:val="Textoennegrita"/>
        </w:rPr>
        <w:t>plantejament</w:t>
      </w:r>
      <w:proofErr w:type="spellEnd"/>
      <w:r>
        <w:rPr>
          <w:rStyle w:val="Textoennegrita"/>
        </w:rPr>
        <w:t xml:space="preserve"> del problema:</w:t>
      </w:r>
    </w:p>
    <w:p w:rsidR="00E013DA" w:rsidRDefault="00E013DA" w:rsidP="00E013DA">
      <w:pPr>
        <w:pStyle w:val="NormalWeb"/>
      </w:pPr>
      <w:proofErr w:type="spellStart"/>
      <w:r>
        <w:t>Què</w:t>
      </w:r>
      <w:proofErr w:type="spellEnd"/>
      <w:r>
        <w:t xml:space="preserve"> </w:t>
      </w:r>
      <w:proofErr w:type="spellStart"/>
      <w:r>
        <w:t>faries</w:t>
      </w:r>
      <w:proofErr w:type="spellEnd"/>
      <w:r>
        <w:t xml:space="preserve"> en el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trobar</w:t>
      </w:r>
      <w:proofErr w:type="spellEnd"/>
      <w:r>
        <w:t xml:space="preserve">-te en una </w:t>
      </w:r>
      <w:proofErr w:type="spellStart"/>
      <w:r>
        <w:t>situació</w:t>
      </w:r>
      <w:proofErr w:type="spellEnd"/>
      <w:r>
        <w:t xml:space="preserve"> </w:t>
      </w:r>
      <w:proofErr w:type="spellStart"/>
      <w:r>
        <w:t>idèntica</w:t>
      </w:r>
      <w:proofErr w:type="spellEnd"/>
      <w:r>
        <w:t xml:space="preserve"> a la de Pedro </w:t>
      </w:r>
      <w:proofErr w:type="spellStart"/>
      <w:r>
        <w:t>Zaballa</w:t>
      </w:r>
      <w:proofErr w:type="spellEnd"/>
      <w:r>
        <w:t>?</w:t>
      </w:r>
    </w:p>
    <w:p w:rsidR="00E013DA" w:rsidRPr="00843AA5" w:rsidRDefault="00E013DA" w:rsidP="00E013DA">
      <w:pPr>
        <w:pStyle w:val="Prrafodelista"/>
        <w:rPr>
          <w:sz w:val="24"/>
          <w:szCs w:val="24"/>
        </w:rPr>
      </w:pPr>
    </w:p>
    <w:sectPr w:rsidR="00E013DA" w:rsidRPr="00843AA5" w:rsidSect="003B0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6BDA"/>
    <w:multiLevelType w:val="hybridMultilevel"/>
    <w:tmpl w:val="D6425D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43AA5"/>
    <w:rsid w:val="000C0F18"/>
    <w:rsid w:val="003B0671"/>
    <w:rsid w:val="00843AA5"/>
    <w:rsid w:val="00E013DA"/>
    <w:rsid w:val="00E9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43AA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A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2</cp:revision>
  <dcterms:created xsi:type="dcterms:W3CDTF">2010-01-24T20:33:00Z</dcterms:created>
  <dcterms:modified xsi:type="dcterms:W3CDTF">2010-01-24T20:53:00Z</dcterms:modified>
</cp:coreProperties>
</file>